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5" w:rsidRPr="00EF514E" w:rsidRDefault="00EE5075" w:rsidP="00EF514E">
      <w:pPr>
        <w:jc w:val="center"/>
        <w:rPr>
          <w:rFonts w:ascii="方正小标宋简体" w:eastAsia="方正小标宋简体" w:hAnsi="仿宋"/>
          <w:sz w:val="30"/>
          <w:szCs w:val="30"/>
        </w:rPr>
      </w:pPr>
      <w:r w:rsidRPr="00824E2B">
        <w:rPr>
          <w:rFonts w:ascii="方正小标宋简体" w:eastAsia="方正小标宋简体" w:hAnsi="仿宋" w:hint="eastAsia"/>
          <w:sz w:val="30"/>
          <w:szCs w:val="30"/>
        </w:rPr>
        <w:t>关于</w:t>
      </w:r>
      <w:r w:rsidR="00EF514E" w:rsidRPr="00EF514E">
        <w:rPr>
          <w:rFonts w:ascii="方正小标宋简体" w:eastAsia="方正小标宋简体" w:hAnsi="仿宋" w:hint="eastAsia"/>
          <w:sz w:val="30"/>
          <w:szCs w:val="30"/>
        </w:rPr>
        <w:t>贵州六盘水攀登开发投资贸易有限公司</w:t>
      </w:r>
      <w:r>
        <w:rPr>
          <w:rFonts w:ascii="方正小标宋简体" w:eastAsia="方正小标宋简体" w:hAnsi="仿宋" w:hint="eastAsia"/>
          <w:sz w:val="30"/>
          <w:szCs w:val="30"/>
        </w:rPr>
        <w:t>相关</w:t>
      </w:r>
      <w:r w:rsidRPr="00824E2B">
        <w:rPr>
          <w:rFonts w:ascii="方正小标宋简体" w:eastAsia="方正小标宋简体" w:hAnsi="仿宋" w:hint="eastAsia"/>
          <w:sz w:val="30"/>
          <w:szCs w:val="30"/>
        </w:rPr>
        <w:t>债券中债估值的说明</w:t>
      </w:r>
      <w:r>
        <w:rPr>
          <w:rFonts w:ascii="方正小标宋简体" w:eastAsia="方正小标宋简体" w:hAnsi="仿宋" w:hint="eastAsia"/>
          <w:sz w:val="30"/>
          <w:szCs w:val="30"/>
        </w:rPr>
        <w:t>20</w:t>
      </w:r>
      <w:r w:rsidR="006E1677">
        <w:rPr>
          <w:rFonts w:ascii="方正小标宋简体" w:eastAsia="方正小标宋简体" w:hAnsi="仿宋" w:hint="eastAsia"/>
          <w:sz w:val="30"/>
          <w:szCs w:val="30"/>
        </w:rPr>
        <w:t>2</w:t>
      </w:r>
      <w:r w:rsidR="00750061">
        <w:rPr>
          <w:rFonts w:ascii="方正小标宋简体" w:eastAsia="方正小标宋简体" w:hAnsi="仿宋"/>
          <w:sz w:val="30"/>
          <w:szCs w:val="30"/>
        </w:rPr>
        <w:t>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年</w:t>
      </w:r>
      <w:r w:rsidR="00EF514E">
        <w:rPr>
          <w:rFonts w:ascii="方正小标宋简体" w:eastAsia="方正小标宋简体" w:hAnsi="仿宋"/>
          <w:sz w:val="30"/>
          <w:szCs w:val="30"/>
        </w:rPr>
        <w:t>6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月</w:t>
      </w:r>
      <w:r w:rsidR="00EF514E">
        <w:rPr>
          <w:rFonts w:ascii="方正小标宋简体" w:eastAsia="方正小标宋简体" w:hAnsi="仿宋"/>
          <w:sz w:val="30"/>
          <w:szCs w:val="30"/>
        </w:rPr>
        <w:t>11</w:t>
      </w:r>
      <w:r w:rsidRPr="006378B1">
        <w:rPr>
          <w:rFonts w:ascii="方正小标宋简体" w:eastAsia="方正小标宋简体" w:hAnsi="仿宋" w:hint="eastAsia"/>
          <w:sz w:val="30"/>
          <w:szCs w:val="30"/>
        </w:rPr>
        <w:t>日</w:t>
      </w:r>
    </w:p>
    <w:p w:rsidR="00EE5075" w:rsidRPr="001F3642" w:rsidRDefault="00EE5075" w:rsidP="00EE5075">
      <w:pPr>
        <w:rPr>
          <w:rFonts w:ascii="仿宋" w:eastAsia="仿宋" w:hAnsi="仿宋"/>
          <w:sz w:val="30"/>
          <w:szCs w:val="30"/>
        </w:rPr>
      </w:pPr>
    </w:p>
    <w:p w:rsidR="00EF514E" w:rsidRDefault="00DB76B0" w:rsidP="00EA6AE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近期，主承销商发布公告</w:t>
      </w:r>
      <w:bookmarkStart w:id="0" w:name="_GoBack"/>
      <w:bookmarkEnd w:id="0"/>
      <w:r w:rsidR="00EF514E">
        <w:rPr>
          <w:rFonts w:ascii="仿宋" w:eastAsia="仿宋" w:hAnsi="仿宋" w:hint="eastAsia"/>
          <w:sz w:val="30"/>
          <w:szCs w:val="30"/>
        </w:rPr>
        <w:t>显示，</w:t>
      </w:r>
      <w:r w:rsidR="00EF514E" w:rsidRPr="00EF514E">
        <w:rPr>
          <w:rFonts w:ascii="仿宋" w:eastAsia="仿宋" w:hAnsi="仿宋" w:hint="eastAsia"/>
          <w:sz w:val="30"/>
          <w:szCs w:val="30"/>
        </w:rPr>
        <w:t>贵州六盘水攀登开发投资贸易有限公司</w:t>
      </w:r>
      <w:r w:rsidR="00EF514E">
        <w:rPr>
          <w:rFonts w:ascii="仿宋" w:eastAsia="仿宋" w:hAnsi="仿宋" w:hint="eastAsia"/>
          <w:sz w:val="30"/>
          <w:szCs w:val="30"/>
        </w:rPr>
        <w:t>（以下简称“发行人”）</w:t>
      </w:r>
      <w:r w:rsidR="00EF514E">
        <w:rPr>
          <w:rFonts w:ascii="仿宋" w:eastAsia="仿宋" w:hAnsi="仿宋" w:hint="eastAsia"/>
          <w:sz w:val="30"/>
          <w:szCs w:val="30"/>
        </w:rPr>
        <w:t>未能按照相关协议约定的分期偿还时间归还租金，被列为被执行人。</w:t>
      </w:r>
    </w:p>
    <w:p w:rsidR="004709A1" w:rsidRDefault="004709A1" w:rsidP="004709A1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今日，</w:t>
      </w:r>
      <w:r w:rsidR="00EA6AE4">
        <w:rPr>
          <w:rFonts w:ascii="仿宋" w:eastAsia="仿宋" w:hAnsi="仿宋" w:hint="eastAsia"/>
          <w:sz w:val="30"/>
          <w:szCs w:val="30"/>
        </w:rPr>
        <w:t>我们结合发行人</w:t>
      </w:r>
      <w:r w:rsidR="00EE04BA" w:rsidRPr="004858E3">
        <w:rPr>
          <w:rFonts w:ascii="仿宋" w:eastAsia="仿宋" w:hAnsi="仿宋" w:hint="eastAsia"/>
          <w:sz w:val="30"/>
          <w:szCs w:val="30"/>
        </w:rPr>
        <w:t>财务经营</w:t>
      </w:r>
      <w:r w:rsidR="00EE04BA">
        <w:rPr>
          <w:rFonts w:ascii="仿宋" w:eastAsia="仿宋" w:hAnsi="仿宋" w:hint="eastAsia"/>
          <w:sz w:val="30"/>
          <w:szCs w:val="30"/>
        </w:rPr>
        <w:t>情况及相关公告</w:t>
      </w:r>
      <w:r>
        <w:rPr>
          <w:rFonts w:ascii="仿宋" w:eastAsia="仿宋" w:hAnsi="仿宋" w:hint="eastAsia"/>
          <w:sz w:val="30"/>
          <w:szCs w:val="30"/>
        </w:rPr>
        <w:t>，调整相关债券的中债市场</w:t>
      </w:r>
      <w:r>
        <w:rPr>
          <w:rFonts w:ascii="仿宋" w:eastAsia="仿宋" w:hAnsi="仿宋"/>
          <w:sz w:val="30"/>
          <w:szCs w:val="30"/>
        </w:rPr>
        <w:t>隐含评级，</w:t>
      </w:r>
      <w:r>
        <w:rPr>
          <w:rFonts w:ascii="仿宋" w:eastAsia="仿宋" w:hAnsi="仿宋" w:hint="eastAsia"/>
          <w:sz w:val="30"/>
          <w:szCs w:val="30"/>
        </w:rPr>
        <w:t>上述债券估值波动较大</w:t>
      </w:r>
      <w:r w:rsidRPr="004858E3">
        <w:rPr>
          <w:rFonts w:ascii="仿宋" w:eastAsia="仿宋" w:hAnsi="仿宋" w:hint="eastAsia"/>
          <w:sz w:val="30"/>
          <w:szCs w:val="30"/>
        </w:rPr>
        <w:t>。</w:t>
      </w:r>
    </w:p>
    <w:p w:rsidR="00E6538E" w:rsidRDefault="00E6538E" w:rsidP="007A249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特此提示。</w:t>
      </w:r>
    </w:p>
    <w:p w:rsidR="006363E8" w:rsidRDefault="006363E8" w:rsidP="00E6538E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E5075" w:rsidRDefault="00EE5075" w:rsidP="00EE5075">
      <w:pPr>
        <w:ind w:leftChars="2065" w:left="4336" w:firstLineChars="50" w:firstLine="150"/>
        <w:rPr>
          <w:rFonts w:ascii="仿宋" w:eastAsia="仿宋" w:hAnsi="仿宋"/>
          <w:sz w:val="30"/>
          <w:szCs w:val="30"/>
        </w:rPr>
      </w:pPr>
      <w:r w:rsidRPr="001423B3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1423B3">
        <w:rPr>
          <w:rFonts w:ascii="仿宋" w:eastAsia="仿宋" w:hAnsi="仿宋" w:hint="eastAsia"/>
          <w:sz w:val="30"/>
          <w:szCs w:val="30"/>
        </w:rPr>
        <w:t>债</w:t>
      </w:r>
      <w:r>
        <w:rPr>
          <w:rFonts w:ascii="仿宋" w:eastAsia="仿宋" w:hAnsi="仿宋" w:hint="eastAsia"/>
          <w:sz w:val="30"/>
          <w:szCs w:val="30"/>
        </w:rPr>
        <w:t>金融</w:t>
      </w:r>
      <w:proofErr w:type="gramEnd"/>
      <w:r>
        <w:rPr>
          <w:rFonts w:ascii="仿宋" w:eastAsia="仿宋" w:hAnsi="仿宋" w:hint="eastAsia"/>
          <w:sz w:val="30"/>
          <w:szCs w:val="30"/>
        </w:rPr>
        <w:t>估值中心有限公司</w:t>
      </w:r>
    </w:p>
    <w:p w:rsidR="00CB763B" w:rsidRPr="000A7157" w:rsidRDefault="006363E8" w:rsidP="000A7157">
      <w:pPr>
        <w:ind w:right="242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</w:t>
      </w:r>
      <w:r w:rsidR="00E6538E">
        <w:rPr>
          <w:rFonts w:ascii="仿宋" w:eastAsia="仿宋" w:hAnsi="仿宋" w:hint="eastAsia"/>
          <w:sz w:val="30"/>
          <w:szCs w:val="30"/>
        </w:rPr>
        <w:t>二</w:t>
      </w:r>
      <w:r w:rsidR="00750061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年</w:t>
      </w:r>
      <w:r w:rsidR="00EF514E">
        <w:rPr>
          <w:rFonts w:ascii="仿宋" w:eastAsia="仿宋" w:hAnsi="仿宋" w:hint="eastAsia"/>
          <w:sz w:val="30"/>
          <w:szCs w:val="30"/>
        </w:rPr>
        <w:t>六</w:t>
      </w:r>
      <w:r w:rsidR="009432D3">
        <w:rPr>
          <w:rFonts w:ascii="仿宋" w:eastAsia="仿宋" w:hAnsi="仿宋" w:hint="eastAsia"/>
          <w:sz w:val="30"/>
          <w:szCs w:val="30"/>
        </w:rPr>
        <w:t>月</w:t>
      </w:r>
      <w:r w:rsidR="00EF514E">
        <w:rPr>
          <w:rFonts w:ascii="仿宋" w:eastAsia="仿宋" w:hAnsi="仿宋" w:hint="eastAsia"/>
          <w:sz w:val="30"/>
          <w:szCs w:val="30"/>
        </w:rPr>
        <w:t>十一</w:t>
      </w:r>
      <w:r w:rsidR="002324D4">
        <w:rPr>
          <w:rFonts w:ascii="仿宋" w:eastAsia="仿宋" w:hAnsi="仿宋" w:hint="eastAsia"/>
          <w:sz w:val="30"/>
          <w:szCs w:val="30"/>
        </w:rPr>
        <w:t>日</w:t>
      </w:r>
    </w:p>
    <w:sectPr w:rsidR="00CB763B" w:rsidRPr="000A7157" w:rsidSect="009A3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EB" w:rsidRDefault="005840EB" w:rsidP="005840EB">
      <w:r>
        <w:separator/>
      </w:r>
    </w:p>
  </w:endnote>
  <w:endnote w:type="continuationSeparator" w:id="0">
    <w:p w:rsidR="005840EB" w:rsidRDefault="005840EB" w:rsidP="0058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EB" w:rsidRDefault="005840EB" w:rsidP="005840EB">
      <w:r>
        <w:separator/>
      </w:r>
    </w:p>
  </w:footnote>
  <w:footnote w:type="continuationSeparator" w:id="0">
    <w:p w:rsidR="005840EB" w:rsidRDefault="005840EB" w:rsidP="0058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75"/>
    <w:rsid w:val="000756B5"/>
    <w:rsid w:val="00082369"/>
    <w:rsid w:val="000A7157"/>
    <w:rsid w:val="000B5BE3"/>
    <w:rsid w:val="000D18F7"/>
    <w:rsid w:val="000F0C69"/>
    <w:rsid w:val="001238EA"/>
    <w:rsid w:val="00153B9D"/>
    <w:rsid w:val="00157093"/>
    <w:rsid w:val="00157429"/>
    <w:rsid w:val="00171A8B"/>
    <w:rsid w:val="00175B73"/>
    <w:rsid w:val="00184AE5"/>
    <w:rsid w:val="00196E08"/>
    <w:rsid w:val="00197E8A"/>
    <w:rsid w:val="0020556B"/>
    <w:rsid w:val="002324D4"/>
    <w:rsid w:val="00237B5A"/>
    <w:rsid w:val="00237F87"/>
    <w:rsid w:val="00266A53"/>
    <w:rsid w:val="002743A5"/>
    <w:rsid w:val="0030159E"/>
    <w:rsid w:val="0031072A"/>
    <w:rsid w:val="00313330"/>
    <w:rsid w:val="00325405"/>
    <w:rsid w:val="00341595"/>
    <w:rsid w:val="00347CE1"/>
    <w:rsid w:val="00371928"/>
    <w:rsid w:val="003F1072"/>
    <w:rsid w:val="00404FB2"/>
    <w:rsid w:val="004436E0"/>
    <w:rsid w:val="004709A1"/>
    <w:rsid w:val="004754CE"/>
    <w:rsid w:val="004E5762"/>
    <w:rsid w:val="005063A1"/>
    <w:rsid w:val="005413D9"/>
    <w:rsid w:val="00564A32"/>
    <w:rsid w:val="00564B6B"/>
    <w:rsid w:val="00566032"/>
    <w:rsid w:val="00575E38"/>
    <w:rsid w:val="005840EB"/>
    <w:rsid w:val="005C2034"/>
    <w:rsid w:val="005D3048"/>
    <w:rsid w:val="005E0F18"/>
    <w:rsid w:val="005F4938"/>
    <w:rsid w:val="005F53CE"/>
    <w:rsid w:val="006204F7"/>
    <w:rsid w:val="006363E8"/>
    <w:rsid w:val="006461CC"/>
    <w:rsid w:val="006747C5"/>
    <w:rsid w:val="00677C0E"/>
    <w:rsid w:val="00685024"/>
    <w:rsid w:val="00694B65"/>
    <w:rsid w:val="006B38E5"/>
    <w:rsid w:val="006D1601"/>
    <w:rsid w:val="006E1677"/>
    <w:rsid w:val="00705C9D"/>
    <w:rsid w:val="00750061"/>
    <w:rsid w:val="007A249A"/>
    <w:rsid w:val="007C1E3B"/>
    <w:rsid w:val="007C7EC2"/>
    <w:rsid w:val="007D4CB4"/>
    <w:rsid w:val="007D777C"/>
    <w:rsid w:val="00810632"/>
    <w:rsid w:val="00814E72"/>
    <w:rsid w:val="008661A4"/>
    <w:rsid w:val="008706C8"/>
    <w:rsid w:val="00875D94"/>
    <w:rsid w:val="00884364"/>
    <w:rsid w:val="008B14D0"/>
    <w:rsid w:val="00934302"/>
    <w:rsid w:val="009432D3"/>
    <w:rsid w:val="00944117"/>
    <w:rsid w:val="00970C2D"/>
    <w:rsid w:val="009972A4"/>
    <w:rsid w:val="00A05CE9"/>
    <w:rsid w:val="00A06AAB"/>
    <w:rsid w:val="00A63B90"/>
    <w:rsid w:val="00A66E56"/>
    <w:rsid w:val="00A818FC"/>
    <w:rsid w:val="00A97AE3"/>
    <w:rsid w:val="00AA00EE"/>
    <w:rsid w:val="00AB7B82"/>
    <w:rsid w:val="00B3197E"/>
    <w:rsid w:val="00B67855"/>
    <w:rsid w:val="00B807A4"/>
    <w:rsid w:val="00B87BD3"/>
    <w:rsid w:val="00BD5A7F"/>
    <w:rsid w:val="00BE1CC6"/>
    <w:rsid w:val="00C21BE3"/>
    <w:rsid w:val="00C317C9"/>
    <w:rsid w:val="00C779FA"/>
    <w:rsid w:val="00C86D4F"/>
    <w:rsid w:val="00CB6EA3"/>
    <w:rsid w:val="00CB763B"/>
    <w:rsid w:val="00CE0FF6"/>
    <w:rsid w:val="00CE2B98"/>
    <w:rsid w:val="00D21DB5"/>
    <w:rsid w:val="00D3568B"/>
    <w:rsid w:val="00D93579"/>
    <w:rsid w:val="00DB0094"/>
    <w:rsid w:val="00DB76B0"/>
    <w:rsid w:val="00DD631B"/>
    <w:rsid w:val="00DF019D"/>
    <w:rsid w:val="00DF3300"/>
    <w:rsid w:val="00E01FF6"/>
    <w:rsid w:val="00E3273C"/>
    <w:rsid w:val="00E33EBD"/>
    <w:rsid w:val="00E6538E"/>
    <w:rsid w:val="00EA6AE4"/>
    <w:rsid w:val="00EC73B2"/>
    <w:rsid w:val="00ED559F"/>
    <w:rsid w:val="00EE04BA"/>
    <w:rsid w:val="00EE5075"/>
    <w:rsid w:val="00EF514E"/>
    <w:rsid w:val="00F10C00"/>
    <w:rsid w:val="00F24DAE"/>
    <w:rsid w:val="00F27A7E"/>
    <w:rsid w:val="00F5357C"/>
    <w:rsid w:val="00FC799D"/>
    <w:rsid w:val="00FD1547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7E9040A"/>
  <w15:docId w15:val="{B75255B7-F83C-493D-AA9F-AACFDA7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崔胤卿</dc:creator>
  <cp:lastModifiedBy>刘天禹</cp:lastModifiedBy>
  <cp:revision>106</cp:revision>
  <cp:lastPrinted>2021-06-11T09:52:00Z</cp:lastPrinted>
  <dcterms:created xsi:type="dcterms:W3CDTF">2019-10-24T10:31:00Z</dcterms:created>
  <dcterms:modified xsi:type="dcterms:W3CDTF">2021-06-11T10:01:00Z</dcterms:modified>
</cp:coreProperties>
</file>